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3BC4" w14:textId="6C0A2CFC" w:rsidR="00AA5CC2" w:rsidRDefault="00AA5CC2" w:rsidP="00AA5CC2">
      <w:pPr>
        <w:pStyle w:val="Ttulo1"/>
        <w:numPr>
          <w:ilvl w:val="0"/>
          <w:numId w:val="0"/>
        </w:numPr>
        <w:ind w:left="720"/>
      </w:pPr>
      <w:bookmarkStart w:id="0" w:name="_Toc142990810"/>
      <w:r>
        <w:t xml:space="preserve">Apéndice </w:t>
      </w:r>
      <w:r w:rsidR="00FC3213">
        <w:t>D</w:t>
      </w:r>
      <w:r>
        <w:t>. Resultados de la investigación exploratoria</w:t>
      </w:r>
      <w:bookmarkEnd w:id="0"/>
    </w:p>
    <w:p w14:paraId="5F60BBF9" w14:textId="77777777" w:rsidR="00AA5CC2" w:rsidRDefault="00AA5CC2" w:rsidP="00AA5CC2">
      <w:pPr>
        <w:pStyle w:val="Sinespaciado"/>
      </w:pPr>
      <w:r>
        <w:t>En el estudio se obtuvieron resultados significativos que arrojan luz sobre las características, necesidades y tendencias del mercado de eventos ciclísticos en Colombia.</w:t>
      </w:r>
    </w:p>
    <w:p w14:paraId="1D181D45" w14:textId="77777777" w:rsidR="00AA5CC2" w:rsidRDefault="00AA5CC2" w:rsidP="00AA5CC2">
      <w:pPr>
        <w:pStyle w:val="Sinespaciado"/>
      </w:pPr>
      <w:r>
        <w:t>En cuanto a los ciclistas aficionados, se identificó que una de las principales motivaciones para participar en eventos era el desafío personal y la superación. Valoraban la calidad de los recorridos y la seguridad en las rutas, así como la oportunidad de socializar y compartir experiencias con otros ciclistas. Además, mostraron interés en eventos que promovieran la inclusión y la participación de diferentes categorías y edades.</w:t>
      </w:r>
    </w:p>
    <w:p w14:paraId="4127A36D" w14:textId="77777777" w:rsidR="00AA5CC2" w:rsidRDefault="00AA5CC2" w:rsidP="00AA5CC2">
      <w:pPr>
        <w:pStyle w:val="Sinespaciado"/>
      </w:pPr>
      <w:r>
        <w:t>Otros ciclistas aficionados entrevistados, ávidos participantes de eventos ciclísticos de alto costo enfatizaron la importancia de la calidad de la organización y la seguridad en los eventos. Valoraron la oportunidad de participar en recorridos desafiantes y exclusivos, así como la posibilidad de interactuar con ciclistas de alto nivel. Mencionaron que la reputación y la trayectoria del evento eran factores determinantes a la hora de decidir su participación.</w:t>
      </w:r>
    </w:p>
    <w:p w14:paraId="28B571C1" w14:textId="77777777" w:rsidR="00AA5CC2" w:rsidRDefault="00AA5CC2" w:rsidP="00AA5CC2">
      <w:pPr>
        <w:pStyle w:val="Sinespaciado"/>
      </w:pPr>
      <w:r>
        <w:t xml:space="preserve">Varios de los entrevistados (3) eran organizadores de eventos ciclísticos en Bucaramanga, quienes destacaron la importancia de la planificación y la logística para ofrecer una experiencia satisfactoria a los participantes. Mencionaron la necesidad de contar con patrocinadores y apoyo de las autoridades locales, así como de promocionar los eventos a través de canales de comunicación efectivos. Asimismo, resaltaron la importancia de diversificar la oferta de eventos para atraer a un público más amplio. También, mencionaron que los ciclistas aficionados de Bucaramanga poseen un alto poder adquisitivo, y que al menos más de 30 de estos participan en todo evento de gran envergadura realizado a nivel nacional, tales como el giro de Rigo, Gran fondo de Nairo, Gran Fondo Santa Marta y similares, y que seguro estarían dispuestos a participar en otros si lo perciben atractivo. Por </w:t>
      </w:r>
      <w:r>
        <w:lastRenderedPageBreak/>
        <w:t>esta línea, mencionan que al menos de forma preliminar la realización de un evento en la Guajira podría poseer un gran impacto, al menos desde la propuesta de valor emitida, asociando su posible éxito a lo novedoso de los posibles recorridos, las famosas playas y parajes de ese departamento, y al deseo aspiracional de “todo” ciclista aficionado de participar en la “Titan Desert”, una de las carreras de MTB más famosas a nivel mundial, que se desarrolla en Marruecos y donde su recorrido pasa por dunas de arena por el desierto Marroquí.</w:t>
      </w:r>
    </w:p>
    <w:p w14:paraId="53D9B4D5" w14:textId="77777777" w:rsidR="00AA5CC2" w:rsidRDefault="00AA5CC2" w:rsidP="00AA5CC2">
      <w:pPr>
        <w:pStyle w:val="Sinespaciado"/>
      </w:pPr>
      <w:r>
        <w:t>Otros de los organizadores han participado en eventos ciclísticos de talla nacional, compartiendo en sus respuestas su compartieron su experiencia en la organización de eventos de gran envergadura, como el Giro de Rigo, Grand Fondo del Café y Chapala Race. Destacaron la importancia de contar con infraestructura adecuada, servicios de calidad y la participación de ciclistas reconocidos para atraer a competidores internacionales y aumentar la visibilidad del evento. También mencionaron la importancia de establecer alianzas estratégicas con patrocinadores y entidades públicas y privadas.</w:t>
      </w:r>
    </w:p>
    <w:p w14:paraId="61FB204D" w14:textId="77777777" w:rsidR="00AA5CC2" w:rsidRDefault="00AA5CC2" w:rsidP="00AA5CC2">
      <w:pPr>
        <w:pStyle w:val="Sinespaciado"/>
      </w:pPr>
      <w:r>
        <w:t>Este componente, la promoción adecuada de los eventos, fue resaltada como un factor crucial para atraer participantes y generar un impacto significativo. Los entrevistados en general enfatizaron la importancia de establecer alianzas estratégicas con marcas proveedoras de productos y servicios relacionados con el ciclismo, con el objetivo de ofrecer a los participantes una experiencia integral. Asimismo, se subrayó la necesidad de promocionar no solo las rutas y los retos ciclísticos, sino también las experiencias culturales, gastronómicas e inmersivas que los participantes pueden disfrutar durante los eventos.</w:t>
      </w:r>
      <w:r w:rsidRPr="005A7297">
        <w:t xml:space="preserve"> </w:t>
      </w:r>
      <w:r>
        <w:t xml:space="preserve">Si bien se observó que las carreras ciclísticas se afianzan con el tiempo, se reconoció que inicialmente se requiere una inversión publicitaria significativa para lograr un número suficiente de participantes. Los organizadores entrevistados afirmaron que, al cumplir con </w:t>
      </w:r>
      <w:r>
        <w:lastRenderedPageBreak/>
        <w:t>una marca reconocida, ofrecer recorridos agradables y contar con una estrategia de comunicación adecuada (aunque no ideal), es posible alcanzar una participación de más de 200 ciclistas con inscripciones superiores a los 500 mil pesos por uno o dos días de competencia. Hay algunas que incluso llegan a costa más de 2 millones de pesos en su inscripción más económica (Bike Challenge o Leyenda el Dorado, por mencionar dos ejemplos), contando con que este precio no incluye desplazamientos ni hospedaje, lo que indica que el costo que tiene que asumir un ciclista aficionado por participar en una carrera de estas, de forma integral es mucho mayor que este valor. Tambien se destaca que, aún con este precio y esos costos asociados al participar, estas competencias tienen notable número de participantes (más de 150 participantes para Bike Challenge y más de 500 para “La Leyenda el Dorado” en su última edición), y que este número crece año tras año.</w:t>
      </w:r>
    </w:p>
    <w:p w14:paraId="7A130A67" w14:textId="77777777" w:rsidR="00AA5CC2" w:rsidRDefault="00AA5CC2" w:rsidP="00AA5CC2">
      <w:pPr>
        <w:pStyle w:val="Sinespaciado"/>
      </w:pPr>
      <w:r>
        <w:t>Otro aspecto interesante que se mencionó es la presencia del "postureo" en el gremio ciclista, donde algunos participantes adquieren bicicletas, ropa y repuestos costosos con el fin de destacar y no desentonar con sus compañeros de “Grupeta”. Esta tendencia refleja la importancia de la imagen y la percepción social en el mundo del ciclismo, lo que influye en las decisiones de compra y en la disposición a invertir en eventos llamativos y accesorios de alta gama.</w:t>
      </w:r>
    </w:p>
    <w:p w14:paraId="478308DB" w14:textId="77777777" w:rsidR="00AA5CC2" w:rsidRDefault="00AA5CC2" w:rsidP="00AA5CC2">
      <w:pPr>
        <w:pStyle w:val="Sinespaciado"/>
      </w:pPr>
      <w:r>
        <w:t>Otros entrevistados, los propietarios de negocios de ciclismo en la Guajira identificaron el potencial de la región para albergar eventos ciclísticos y promover el turismo deportivo. Resaltaron la belleza natural de la zona, la hospitalidad de la comunidad y la riqueza cultural como atractivos adicionales para los participantes. También mencionaron la importancia de realizar inteligentemente asociaciones estratégicas con negocios locales, buscando contar con servicios de alojamiento, alimentación y transporte adecuados para brindar una experiencia integral a los ciclistas.</w:t>
      </w:r>
    </w:p>
    <w:p w14:paraId="08F781B8" w14:textId="77777777" w:rsidR="00AA5CC2" w:rsidRDefault="00AA5CC2" w:rsidP="00AA5CC2">
      <w:pPr>
        <w:pStyle w:val="Sinespaciado"/>
      </w:pPr>
      <w:r>
        <w:lastRenderedPageBreak/>
        <w:t>Además de los resultados mencionados anteriormente, cabe destacar que varios participantes resaltaron el crecimiento exponencial que ha experimentado la industria de eventos ciclísticos en Colombia en los últimos años. Aunque pueda parecer sorprendente, se observó que los ciclistas están dispuestos a pagar precios elevados de inscripción, superiores a los 500 mil pesos en la mayoría de los casos (para los eventos más publicitados), siempre y cuando perciban una propuesta de valor excepcional. Esta disposición a invertir en eventos de alto costo se fundamenta en la búsqueda de experiencias únicas, desafiantes y enriquecedoras para su desarrollo personal y para formar parte de un selecto grupo de ciclistas.</w:t>
      </w:r>
    </w:p>
    <w:p w14:paraId="1A382040" w14:textId="77777777" w:rsidR="00AA5CC2" w:rsidRDefault="00AA5CC2" w:rsidP="00AA5CC2">
      <w:pPr>
        <w:pStyle w:val="Sinespaciado"/>
      </w:pPr>
      <w:r>
        <w:t>Haciendo más énfasis en temas logísticos de eventos ciclísticos de esta magnitud, los entrevistados enfatizaron la necesidad de abordar aspectos clave para satisfacer las necesidades de los participantes. Se destacó la importancia de contar con servicios de hospedaje adecuados, considerando la disponibilidad de alojamiento cercano a las sedes de las carreras. Además, se resaltó la necesidad de proporcionar soluciones logísticas como masajistas, alimentación, transporte y seguridad durante el evento, con el fin de brindar una experiencia completa y satisfactoria para los ciclistas.</w:t>
      </w:r>
    </w:p>
    <w:p w14:paraId="7639F7C3" w14:textId="77777777" w:rsidR="00AA5CC2" w:rsidRPr="00433572" w:rsidRDefault="00AA5CC2" w:rsidP="00AA5CC2">
      <w:pPr>
        <w:pStyle w:val="Sinespaciado"/>
      </w:pPr>
      <w:r>
        <w:t>En cuanto a la seguridad, se resaltó la importancia de contar con seguros adecuados para garantizar la protección financiera del negocio ante eventualidades y accidentes durante los eventos. Los organizadores reconocieron que la tranquilidad de los participantes y la confianza en la organización son fundamentales para mantener la reputación y el éxito del evento a largo plazo.</w:t>
      </w:r>
    </w:p>
    <w:p w14:paraId="28E2DCBE" w14:textId="77777777" w:rsidR="00AA5CC2" w:rsidRDefault="00AA5CC2" w:rsidP="00AA5CC2">
      <w:pPr>
        <w:pStyle w:val="Sinespaciado"/>
      </w:pPr>
      <w:r>
        <w:t xml:space="preserve">Cómo se observa, </w:t>
      </w:r>
      <w:r w:rsidRPr="00433572">
        <w:t xml:space="preserve">los resultados de la investigación </w:t>
      </w:r>
      <w:r>
        <w:t xml:space="preserve">exploratoria muestran un escenario muy alentador para el desarrollo de la presente propuesta de negocio. Esto asociado principalmente a </w:t>
      </w:r>
      <w:r w:rsidRPr="00433572">
        <w:t xml:space="preserve">un crecimiento significativo en los eventos ciclísticos en Colombia y la </w:t>
      </w:r>
      <w:r w:rsidRPr="00433572">
        <w:lastRenderedPageBreak/>
        <w:t xml:space="preserve">disposición de los participantes a pagar precios elevados de inscripción </w:t>
      </w:r>
      <w:r>
        <w:t xml:space="preserve">en estos eventos </w:t>
      </w:r>
      <w:r w:rsidRPr="00433572">
        <w:t>cuando perciben una propuesta de valor destacada. La promoción efectiva, las alianzas estratégicas con marcas proveedoras y la generación de experiencias enriquecedoras tanto en el ámbito ciclístico como en otros aspectos, son factores clave para el éxito de los eventos. Además, el fenómeno del "postureo" muestra la importancia de la imagen y la pertenencia en el gremio ciclista</w:t>
      </w:r>
      <w:r>
        <w:t>, así como la elevada inversión que suelen hacer estos por bienes o servicios bien percibidos dentro de su misma comunidad.</w:t>
      </w:r>
      <w:r w:rsidRPr="00433572">
        <w:t xml:space="preserve"> </w:t>
      </w:r>
    </w:p>
    <w:p w14:paraId="2ABDDABC" w14:textId="77777777" w:rsidR="0090112C" w:rsidRDefault="0090112C"/>
    <w:sectPr w:rsidR="0090112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21D15"/>
    <w:multiLevelType w:val="multilevel"/>
    <w:tmpl w:val="AD24E0D6"/>
    <w:lvl w:ilvl="0">
      <w:start w:val="1"/>
      <w:numFmt w:val="decimal"/>
      <w:pStyle w:val="Ttulo1"/>
      <w:lvlText w:val="%1."/>
      <w:lvlJc w:val="left"/>
      <w:pPr>
        <w:ind w:left="720" w:hanging="360"/>
      </w:pPr>
      <w:rPr>
        <w:rFonts w:hint="default"/>
      </w:rPr>
    </w:lvl>
    <w:lvl w:ilvl="1">
      <w:start w:val="1"/>
      <w:numFmt w:val="decimal"/>
      <w:pStyle w:val="Ttulo2"/>
      <w:isLgl/>
      <w:suff w:val="space"/>
      <w:lvlText w:val="%1.%2."/>
      <w:lvlJc w:val="left"/>
      <w:pPr>
        <w:ind w:left="840" w:hanging="840"/>
      </w:pPr>
      <w:rPr>
        <w:rFonts w:hint="default"/>
      </w:rPr>
    </w:lvl>
    <w:lvl w:ilvl="2">
      <w:start w:val="1"/>
      <w:numFmt w:val="decimal"/>
      <w:pStyle w:val="Ttulo3"/>
      <w:isLgl/>
      <w:suff w:val="space"/>
      <w:lvlText w:val="%1.%2.%3."/>
      <w:lvlJc w:val="left"/>
      <w:pPr>
        <w:ind w:left="0" w:firstLine="0"/>
      </w:pPr>
      <w:rPr>
        <w:rFonts w:hint="default"/>
      </w:rPr>
    </w:lvl>
    <w:lvl w:ilvl="3">
      <w:start w:val="1"/>
      <w:numFmt w:val="decimal"/>
      <w:pStyle w:val="Ttulo4"/>
      <w:isLgl/>
      <w:suff w:val="space"/>
      <w:lvlText w:val="%1.%2.%3.%4."/>
      <w:lvlJc w:val="left"/>
      <w:pPr>
        <w:ind w:left="0" w:firstLine="720"/>
      </w:pPr>
      <w:rPr>
        <w:rFonts w:hint="default"/>
        <w:b/>
        <w:bCs w:val="0"/>
        <w:i w:val="0"/>
        <w:iCs w:val="0"/>
      </w:rPr>
    </w:lvl>
    <w:lvl w:ilvl="4">
      <w:start w:val="1"/>
      <w:numFmt w:val="decimal"/>
      <w:pStyle w:val="Ttulo5"/>
      <w:isLgl/>
      <w:lvlText w:val="%1.%2.%3.%4.%5."/>
      <w:lvlJc w:val="left"/>
      <w:pPr>
        <w:ind w:left="1440" w:hanging="1080"/>
      </w:p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CC2"/>
    <w:rsid w:val="0090112C"/>
    <w:rsid w:val="00AA5CC2"/>
    <w:rsid w:val="00C824B3"/>
    <w:rsid w:val="00FC321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E9B23"/>
  <w15:chartTrackingRefBased/>
  <w15:docId w15:val="{E57D02BC-AB68-4204-A41E-A9858C219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autoRedefine/>
    <w:uiPriority w:val="9"/>
    <w:qFormat/>
    <w:rsid w:val="00AA5CC2"/>
    <w:pPr>
      <w:numPr>
        <w:numId w:val="1"/>
      </w:numPr>
      <w:spacing w:after="240" w:line="480" w:lineRule="auto"/>
      <w:jc w:val="center"/>
      <w:outlineLvl w:val="0"/>
    </w:pPr>
    <w:rPr>
      <w:rFonts w:ascii="Times New Roman" w:eastAsia="Times New Roman" w:hAnsi="Times New Roman" w:cs="Arial"/>
      <w:b/>
      <w:bCs/>
      <w:kern w:val="36"/>
      <w:sz w:val="24"/>
      <w:szCs w:val="24"/>
    </w:rPr>
  </w:style>
  <w:style w:type="paragraph" w:styleId="Ttulo2">
    <w:name w:val="heading 2"/>
    <w:basedOn w:val="Normal"/>
    <w:next w:val="Normal"/>
    <w:link w:val="Ttulo2Car"/>
    <w:autoRedefine/>
    <w:uiPriority w:val="9"/>
    <w:unhideWhenUsed/>
    <w:qFormat/>
    <w:rsid w:val="00AA5CC2"/>
    <w:pPr>
      <w:keepNext/>
      <w:keepLines/>
      <w:numPr>
        <w:ilvl w:val="1"/>
        <w:numId w:val="1"/>
      </w:numPr>
      <w:spacing w:after="0" w:line="480" w:lineRule="auto"/>
      <w:jc w:val="both"/>
      <w:outlineLvl w:val="1"/>
    </w:pPr>
    <w:rPr>
      <w:rFonts w:ascii="Times New Roman" w:eastAsia="Times New Roman" w:hAnsi="Times New Roman" w:cs="Times New Roman"/>
      <w:b/>
      <w:sz w:val="24"/>
      <w:szCs w:val="26"/>
    </w:rPr>
  </w:style>
  <w:style w:type="paragraph" w:styleId="Ttulo3">
    <w:name w:val="heading 3"/>
    <w:basedOn w:val="Normal"/>
    <w:next w:val="Normal"/>
    <w:link w:val="Ttulo3Car"/>
    <w:autoRedefine/>
    <w:uiPriority w:val="9"/>
    <w:unhideWhenUsed/>
    <w:qFormat/>
    <w:rsid w:val="00AA5CC2"/>
    <w:pPr>
      <w:keepNext/>
      <w:keepLines/>
      <w:numPr>
        <w:ilvl w:val="2"/>
        <w:numId w:val="1"/>
      </w:numPr>
      <w:spacing w:after="0" w:line="480" w:lineRule="auto"/>
      <w:jc w:val="both"/>
      <w:outlineLvl w:val="2"/>
    </w:pPr>
    <w:rPr>
      <w:rFonts w:ascii="Times New Roman" w:eastAsia="Times New Roman" w:hAnsi="Times New Roman" w:cs="Times New Roman"/>
      <w:b/>
      <w:i/>
      <w:iCs/>
      <w:color w:val="000000"/>
      <w:sz w:val="24"/>
      <w:szCs w:val="24"/>
    </w:rPr>
  </w:style>
  <w:style w:type="paragraph" w:styleId="Ttulo4">
    <w:name w:val="heading 4"/>
    <w:basedOn w:val="Ttulo3"/>
    <w:next w:val="Normal"/>
    <w:link w:val="Ttulo4Car"/>
    <w:uiPriority w:val="9"/>
    <w:unhideWhenUsed/>
    <w:qFormat/>
    <w:rsid w:val="00AA5CC2"/>
    <w:pPr>
      <w:keepNext w:val="0"/>
      <w:keepLines w:val="0"/>
      <w:widowControl w:val="0"/>
      <w:numPr>
        <w:ilvl w:val="3"/>
      </w:numPr>
      <w:outlineLvl w:val="3"/>
    </w:pPr>
    <w:rPr>
      <w:i w:val="0"/>
      <w:iCs w:val="0"/>
    </w:rPr>
  </w:style>
  <w:style w:type="paragraph" w:styleId="Ttulo5">
    <w:name w:val="heading 5"/>
    <w:basedOn w:val="Normal"/>
    <w:next w:val="Normal"/>
    <w:link w:val="Ttulo5Car"/>
    <w:uiPriority w:val="9"/>
    <w:unhideWhenUsed/>
    <w:qFormat/>
    <w:rsid w:val="00AA5CC2"/>
    <w:pPr>
      <w:numPr>
        <w:ilvl w:val="4"/>
        <w:numId w:val="1"/>
      </w:numPr>
      <w:spacing w:after="0" w:line="480" w:lineRule="auto"/>
      <w:ind w:left="0" w:firstLine="851"/>
      <w:jc w:val="both"/>
      <w:outlineLvl w:val="4"/>
    </w:pPr>
    <w:rPr>
      <w:rFonts w:ascii="Times New Roman" w:eastAsia="Times New Roman" w:hAnsi="Times New Roman" w:cs="Times New Roman"/>
      <w:b/>
      <w:bCs/>
      <w:i/>
      <w:iCs/>
      <w:noProo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A5CC2"/>
    <w:rPr>
      <w:rFonts w:ascii="Times New Roman" w:eastAsia="Times New Roman" w:hAnsi="Times New Roman" w:cs="Arial"/>
      <w:b/>
      <w:bCs/>
      <w:kern w:val="36"/>
      <w:sz w:val="24"/>
      <w:szCs w:val="24"/>
    </w:rPr>
  </w:style>
  <w:style w:type="character" w:customStyle="1" w:styleId="Ttulo2Car">
    <w:name w:val="Título 2 Car"/>
    <w:basedOn w:val="Fuentedeprrafopredeter"/>
    <w:link w:val="Ttulo2"/>
    <w:uiPriority w:val="9"/>
    <w:rsid w:val="00AA5CC2"/>
    <w:rPr>
      <w:rFonts w:ascii="Times New Roman" w:eastAsia="Times New Roman" w:hAnsi="Times New Roman" w:cs="Times New Roman"/>
      <w:b/>
      <w:sz w:val="24"/>
      <w:szCs w:val="26"/>
    </w:rPr>
  </w:style>
  <w:style w:type="character" w:customStyle="1" w:styleId="Ttulo3Car">
    <w:name w:val="Título 3 Car"/>
    <w:basedOn w:val="Fuentedeprrafopredeter"/>
    <w:link w:val="Ttulo3"/>
    <w:uiPriority w:val="9"/>
    <w:rsid w:val="00AA5CC2"/>
    <w:rPr>
      <w:rFonts w:ascii="Times New Roman" w:eastAsia="Times New Roman" w:hAnsi="Times New Roman" w:cs="Times New Roman"/>
      <w:b/>
      <w:i/>
      <w:iCs/>
      <w:color w:val="000000"/>
      <w:sz w:val="24"/>
      <w:szCs w:val="24"/>
    </w:rPr>
  </w:style>
  <w:style w:type="character" w:customStyle="1" w:styleId="Ttulo4Car">
    <w:name w:val="Título 4 Car"/>
    <w:basedOn w:val="Fuentedeprrafopredeter"/>
    <w:link w:val="Ttulo4"/>
    <w:uiPriority w:val="9"/>
    <w:rsid w:val="00AA5CC2"/>
    <w:rPr>
      <w:rFonts w:ascii="Times New Roman" w:eastAsia="Times New Roman" w:hAnsi="Times New Roman" w:cs="Times New Roman"/>
      <w:b/>
      <w:color w:val="000000"/>
      <w:sz w:val="24"/>
      <w:szCs w:val="24"/>
    </w:rPr>
  </w:style>
  <w:style w:type="character" w:customStyle="1" w:styleId="Ttulo5Car">
    <w:name w:val="Título 5 Car"/>
    <w:basedOn w:val="Fuentedeprrafopredeter"/>
    <w:link w:val="Ttulo5"/>
    <w:uiPriority w:val="9"/>
    <w:rsid w:val="00AA5CC2"/>
    <w:rPr>
      <w:rFonts w:ascii="Times New Roman" w:eastAsia="Times New Roman" w:hAnsi="Times New Roman" w:cs="Times New Roman"/>
      <w:b/>
      <w:bCs/>
      <w:i/>
      <w:iCs/>
      <w:noProof/>
      <w:sz w:val="24"/>
      <w:szCs w:val="24"/>
    </w:rPr>
  </w:style>
  <w:style w:type="paragraph" w:styleId="Sinespaciado">
    <w:name w:val="No Spacing"/>
    <w:aliases w:val="APA NORMAL"/>
    <w:link w:val="SinespaciadoCar"/>
    <w:uiPriority w:val="1"/>
    <w:qFormat/>
    <w:rsid w:val="00AA5CC2"/>
    <w:pPr>
      <w:spacing w:after="0" w:line="480" w:lineRule="auto"/>
      <w:ind w:firstLine="720"/>
      <w:jc w:val="both"/>
    </w:pPr>
    <w:rPr>
      <w:rFonts w:ascii="Times New Roman" w:eastAsia="Calibri" w:hAnsi="Times New Roman" w:cs="Times New Roman"/>
      <w:sz w:val="24"/>
    </w:rPr>
  </w:style>
  <w:style w:type="character" w:customStyle="1" w:styleId="SinespaciadoCar">
    <w:name w:val="Sin espaciado Car"/>
    <w:aliases w:val="APA NORMAL Car"/>
    <w:link w:val="Sinespaciado"/>
    <w:uiPriority w:val="1"/>
    <w:rsid w:val="00AA5CC2"/>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1318</Words>
  <Characters>7251</Characters>
  <Application>Microsoft Office Word</Application>
  <DocSecurity>0</DocSecurity>
  <Lines>60</Lines>
  <Paragraphs>17</Paragraphs>
  <ScaleCrop>false</ScaleCrop>
  <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2023-08-17T22:33:00Z</dcterms:created>
  <dcterms:modified xsi:type="dcterms:W3CDTF">2023-09-24T23:10:00Z</dcterms:modified>
</cp:coreProperties>
</file>